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eastAsia="Times New Roman"/>
          <w:b/>
          <w:kern w:val="0"/>
          <w:sz w:val="36"/>
          <w:szCs w:val="36"/>
          <w:lang w:val="pl-pl" w:eastAsia="pl-pl" w:bidi="ar-sa"/>
        </w:rPr>
      </w:pPr>
      <w:r>
        <w:rPr>
          <w:rFonts w:eastAsia="Times New Roman"/>
          <w:b/>
          <w:kern w:val="0"/>
          <w:sz w:val="36"/>
          <w:szCs w:val="36"/>
          <w:lang w:val="pl-pl" w:eastAsia="pl-pl" w:bidi="ar-sa"/>
        </w:rPr>
        <w:t>KLASA IV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 </w:t>
      </w:r>
      <w:r>
        <w:rPr>
          <w:rFonts w:eastAsia="Times New Roman"/>
          <w:b/>
          <w:bCs/>
          <w:color w:val="000000"/>
          <w:sz w:val="32"/>
          <w:szCs w:val="32"/>
        </w:rPr>
        <w:t xml:space="preserve">Sposoby sprawdzania osiągnięć. 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Warunki i tryb uzyskania oceny wyższej niż przewidywana</w:t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kern w:val="0"/>
          <w:sz w:val="40"/>
          <w:szCs w:val="40"/>
          <w:lang w:val="pl-pl" w:eastAsia="pl-pl" w:bidi="ar-sa"/>
        </w:rPr>
      </w:pPr>
      <w:r>
        <w:rPr>
          <w:rFonts w:eastAsia="Times New Roman"/>
          <w:b/>
          <w:kern w:val="0"/>
          <w:sz w:val="40"/>
          <w:szCs w:val="40"/>
          <w:lang w:val="pl-pl" w:eastAsia="pl-pl" w:bidi="ar-sa"/>
        </w:rPr>
        <w:t>Opracowane na podstawie :</w:t>
      </w:r>
    </w:p>
    <w:p>
      <w:pPr>
        <w:pStyle w:val="para4"/>
        <w:numPr>
          <w:ilvl w:val="0"/>
          <w:numId w:val="2"/>
        </w:numPr>
        <w:ind w:left="1620" w:hanging="360"/>
        <w:rPr>
          <w:b/>
          <w:color w:val="ff0000"/>
          <w:sz w:val="28"/>
          <w:szCs w:val="28"/>
        </w:rPr>
      </w:pPr>
      <w:r>
        <w:rPr>
          <w:rStyle w:val="char1"/>
          <w:color w:val="000000"/>
          <w:sz w:val="28"/>
          <w:szCs w:val="28"/>
          <w:shd w:val="clear" w:fill="ffffff"/>
        </w:rPr>
        <w:t>Rozporządzenia</w:t>
      </w:r>
      <w:r>
        <w:rPr>
          <w:rStyle w:val="char1"/>
          <w:color w:val="000000"/>
          <w:sz w:val="28"/>
          <w:szCs w:val="28"/>
          <w:shd w:val="clear" w:fill="ffffff"/>
        </w:rPr>
        <w:t xml:space="preserve">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>
        <w:rPr>
          <w:rStyle w:val="char1"/>
          <w:bCs w:val="0"/>
          <w:color w:val="ff0000"/>
          <w:sz w:val="28"/>
          <w:szCs w:val="28"/>
        </w:rPr>
      </w:r>
    </w:p>
    <w:p>
      <w:pPr>
        <w:pStyle w:val="para4"/>
        <w:numPr>
          <w:ilvl w:val="0"/>
          <w:numId w:val="2"/>
        </w:numPr>
        <w:ind w:left="1620" w:hanging="36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Programu nauczania ogólnego języka polskiego w klasach IV – VIII szkoły podstawowej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„Nowe słowa na start” M. Derlukiewicz</w:t>
      </w:r>
      <w:r>
        <w:rPr>
          <w:b/>
          <w:color w:val="ff0000"/>
          <w:sz w:val="28"/>
          <w:szCs w:val="28"/>
        </w:rPr>
      </w:r>
    </w:p>
    <w:p>
      <w:pPr>
        <w:pStyle w:val="para4"/>
        <w:numPr>
          <w:ilvl w:val="0"/>
          <w:numId w:val="2"/>
        </w:numPr>
        <w:ind w:left="16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Statutu Zespołu Szkolno – Przedszkolnego w Niskowej</w:t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</w:r>
    </w:p>
    <w:p>
      <w:pPr>
        <w:spacing/>
        <w:jc w:val="right"/>
        <w:rPr>
          <w:rFonts w:eastAsia="Times New Roman"/>
          <w:b/>
          <w:kern w:val="0"/>
          <w:sz w:val="28"/>
          <w:szCs w:val="28"/>
          <w:lang w:val="pl-pl" w:eastAsia="pl-pl" w:bidi="ar-sa"/>
        </w:rPr>
      </w:pPr>
      <w:r>
        <w:rPr>
          <w:rFonts w:eastAsia="Times New Roman"/>
          <w:b/>
          <w:kern w:val="0"/>
          <w:sz w:val="28"/>
          <w:szCs w:val="28"/>
          <w:lang w:val="pl-pl" w:eastAsia="pl-pl" w:bidi="ar-sa"/>
        </w:rPr>
        <w:t>mgr  Jolanta Orzeszek</w:t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  <w:t>SPOSOBY SPRAWDZANIA OSIĄGNIĘĆ EDUKACYJNYCH UCZNIÓW</w:t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rPr>
          <w:rFonts w:eastAsia="Times New Roman"/>
          <w:highlight w:val="white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highlight w:val="white"/>
          <w:kern w:val="0"/>
          <w:sz w:val="24"/>
          <w:szCs w:val="24"/>
          <w:lang w:val="pl-pl" w:eastAsia="pl-pl" w:bidi="ar-sa"/>
        </w:rPr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  <w:t xml:space="preserve">Przedmiotem oceny z języka polskiego są: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- wiadomości zawarte w programie nauczania dla klasy IV,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- zdobyte przez ucznia umiejętności w odniesieniu do podstawy programowej.</w:t>
      </w:r>
    </w:p>
    <w:p>
      <w:pPr>
        <w:rPr>
          <w:rFonts w:eastAsia="Times New Roman"/>
          <w:b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>1. Przyjmuje się następujące formy pomiaru wiedzy i umiejętności: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1) Formy pisemne;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zadanie klasowe, sprawdzian, test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poprawa zadania klasowego, sprawdzianu, testu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kartkówka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d)</w:t>
        <w:tab/>
        <w:t>wypracowanie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e)</w:t>
        <w:tab/>
        <w:t>dyktando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f)</w:t>
        <w:tab/>
        <w:t>projekt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g)</w:t>
        <w:tab/>
        <w:t>referat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h)</w:t>
        <w:tab/>
        <w:t>prezentacja indywidualna i grupowa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i)</w:t>
        <w:tab/>
        <w:t>praca samodzielna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j)</w:t>
        <w:tab/>
        <w:t>projekty edukacyjne i prace wykonywane przez uczniów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k)</w:t>
        <w:tab/>
        <w:t>opracowanie i wykonanie pomocy dydaktycznych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l)</w:t>
        <w:tab/>
        <w:t>wytwory pracy własnej ucznia;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2) Formy ustne;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odpowiedź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recytacja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czytanie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3) Formy sprawnościowe, praktyczne;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doświadczenia, wytwory pracy własnej wykonane podczas zajęć,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b)</w:t>
        <w:tab/>
        <w:t>praca twórcza i odtwórcza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c)</w:t>
        <w:tab/>
        <w:t>praca w grupach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4) Inne formy;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a)</w:t>
        <w:tab/>
        <w:t>Konkursy, olimpiady (oceny z tych form mogą wpływać na ocenę z zachowania i widnieją w dzienniku jako dodatkowa ocena z zajęć edukacyjnych – czyli udział w konkursach nie podnosi z automatu oceny o stopień)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b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lang w:val="pl-pl" w:eastAsia="pl-pl" w:bidi="ar-sa"/>
        </w:rPr>
      </w:r>
      <w:bookmarkStart w:id="0" w:name="_Hlk175118186"/>
      <w:r>
        <w:rPr>
          <w:rFonts w:eastAsia="Times New Roman"/>
          <w:kern w:val="0"/>
          <w:lang w:val="pl-pl" w:eastAsia="pl-pl" w:bidi="ar-sa"/>
        </w:rPr>
      </w: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 xml:space="preserve">2. Prace klasowe i sprawdziany oceniane są wg  skali  procentowej i przeliczane są wg następującej skali: </w:t>
      </w: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 xml:space="preserve">1)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100  %        6</w:t>
        <w:tab/>
        <w:t xml:space="preserve">(celujący)  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99-90%    5</w:t>
        <w:tab/>
        <w:t>(bardzo dobry)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 89-75%    4</w:t>
        <w:tab/>
        <w:t>(dobry)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74-50%     3</w:t>
        <w:tab/>
        <w:t>(dostateczny)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49-30%     2</w:t>
        <w:tab/>
        <w:t>(dopuszczający)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       29%              1           (niedostateczny)</w:t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2) Prace klasowe i sprawdziany mogą być oceniane w skali „ – ”  lub „+”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bookmarkEnd w:id="0"/>
      <w:r>
        <w:rPr>
          <w:rFonts w:eastAsia="Calibri"/>
          <w:kern w:val="0"/>
          <w:sz w:val="24"/>
          <w:szCs w:val="24"/>
          <w:lang w:val="pl-pl" w:eastAsia="pl-pl" w:bidi="ar-sa"/>
        </w:rPr>
        <w:tab/>
        <w:t>100  %     6</w:t>
        <w:tab/>
        <w:t xml:space="preserve">(celujący)  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99 – 98 % </w:t>
        <w:tab/>
        <w:t>(- celujący)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97 – 96 % </w:t>
        <w:tab/>
        <w:t>(+ 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95-92 %    5</w:t>
        <w:tab/>
        <w:t>(bardzo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 xml:space="preserve">91 – 90 % </w:t>
        <w:tab/>
        <w:t>(- bardzo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89 – 88 %</w:t>
        <w:tab/>
        <w:t>(+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87-77%    4</w:t>
        <w:tab/>
        <w:t>(dobry)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76 – 75 %</w:t>
        <w:tab/>
        <w:t>(- dobry)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74 – 73 %</w:t>
        <w:tab/>
        <w:t>(+ 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72-52%     3</w:t>
        <w:tab/>
        <w:t>(dostateczny)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51 – 50 %</w:t>
        <w:tab/>
        <w:t>(- dostateczny)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49 – 48 %</w:t>
        <w:tab/>
        <w:t>(+dopuszczający)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47-32%     2</w:t>
        <w:tab/>
        <w:t>(dopuszczający)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31 – 30 %</w:t>
        <w:tab/>
        <w:t>(- dopuszczający)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  <w:tab/>
        <w:t>29%           1       (niedostateczny)</w:t>
      </w:r>
    </w:p>
    <w:p>
      <w:pPr>
        <w:pStyle w:val="para4"/>
        <w:ind w:left="1080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080"/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3)Przy ocenie prac pisemnych uwzględnia się:</w:t>
      </w:r>
    </w:p>
    <w:p>
      <w:pPr>
        <w:pStyle w:val="para4"/>
        <w:ind w:left="10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numPr>
          <w:ilvl w:val="0"/>
          <w:numId w:val="1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Ujęcie tematu i wartość materiału rzeczowego – poziom merytoryczny: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zgodność pracy z tematem (całkowita, częściowa, brak zgodności), przyczyn odbiegania od tematu (brak wiadomości, niezrozumienie tematu),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stopień wyczerpania tematu,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oryginalność ujęcia tematu samodzielność, schematyczność, charakter odtwórczy),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stosunek do tematu (subiektywny, obiektywny, krytyczny),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poziom wiedzy rzeczowej (odwołanie do tekstu, umiejętność wykorzystania informacji płynących z tekstu),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trafność interpretacji,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umiejętność selekcji, analizy, wnioskowania,</w:t>
      </w:r>
    </w:p>
    <w:p>
      <w:pPr>
        <w:pStyle w:val="para4"/>
        <w:numPr>
          <w:ilvl w:val="0"/>
          <w:numId w:val="1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Poziom kompozycyjny: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wewnętrzna logika, spójność tekstu,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posługiwanie się określoną formą wypowiedzi, uporządkowana w układzie treści,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układ treści, akapity,</w:t>
      </w:r>
    </w:p>
    <w:p>
      <w:pPr>
        <w:pStyle w:val="para4"/>
        <w:numPr>
          <w:ilvl w:val="0"/>
          <w:numId w:val="1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Poziom polszczyzny: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styl (jasny, zrozumiały, przejrzysty, obrazowy, żywy, zawiły, rozwlekły),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słownictwo (celowy dobór materiału językowego, jego bogactwo, stosowanie zwrotów frazeologicznych, słownictwo potoczne, ubogie),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składnia (logiczność, przejrzystość, poprawnie zbudowane zdania, trafne rodzaje zdań)</w:t>
      </w:r>
    </w:p>
    <w:p>
      <w:pPr>
        <w:pStyle w:val="para4"/>
        <w:numPr>
          <w:ilvl w:val="0"/>
          <w:numId w:val="1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Sprawność w zakresie ortografii i interpunkcji: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liczne błędy ortograficzne obniżają wartość i ocenę pracy,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jeżeli praca pod względem merytorycznym i językowym jest na wysokim poziomie, to błędy ortograficzne nie wpływają na znaczne obniżenie oceny pracy,</w:t>
      </w:r>
    </w:p>
    <w:p>
      <w:pPr>
        <w:pStyle w:val="para4"/>
        <w:numPr>
          <w:ilvl w:val="0"/>
          <w:numId w:val="1"/>
        </w:numPr>
        <w:ind w:left="1800" w:hanging="360"/>
        <w:spacing w:after="200" w:line="276" w:lineRule="auto"/>
        <w:widowControl/>
        <w:rPr>
          <w:sz w:val="24"/>
          <w:szCs w:val="24"/>
        </w:rPr>
      </w:pPr>
      <w:r>
        <w:rPr>
          <w:sz w:val="24"/>
          <w:szCs w:val="24"/>
        </w:rPr>
        <w:t>Zapis: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pismo (kształt, czytelność),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  <w:t>- estetyka.</w:t>
      </w:r>
    </w:p>
    <w:p>
      <w:pPr>
        <w:pStyle w:val="para4"/>
        <w:ind w:left="1800"/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ab/>
      </w: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4)Zasady poprawy i oceny dyktand:</w:t>
      </w: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błędy zasadnicze: pisownia: ó/u, rz/ż, ch/h, wielka/mała litera,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błędy drugorzędne  pozostałe,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-dwa błędy drugorzędne – jeden błąd zasadniczy,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- cztery błędy interpunkcyjne – jeden błąd zasadniczy,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Ocena dyktand: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name w:val="Tabela9"/>
        <w:tabOrder w:val="0"/>
        <w:jc w:val="left"/>
        <w:tblInd w:w="1440" w:type="dxa"/>
        <w:tblW w:w="4338" w:type="dxa"/>
        <w:pPr>
          <w:ind w:left="1440"/>
          <w:rPr>
            <w:rFonts w:eastAsia="Times New Roman"/>
            <w:kern w:val="0"/>
            <w:lang w:val="pl-pl" w:eastAsia="pl-pl" w:bidi="ar-sa"/>
          </w:rPr>
        </w:pPr>
        <w:tblLook w:val="04A0" w:firstRow="1" w:lastRow="0" w:firstColumn="1" w:lastColumn="0" w:noHBand="0" w:noVBand="1"/>
      </w:tblPr>
      <w:tblGrid>
        <w:gridCol w:w="2212"/>
        <w:gridCol w:w="2126"/>
      </w:tblGrid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Ocena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lub 1 interpunkcyjny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celująca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interpunkcyjne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dobry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błąd zasadniczy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+dobry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dobry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+dostateczny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błędy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dostateczny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błędów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dopuszczający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1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błędów</w:t>
            </w:r>
          </w:p>
        </w:tc>
        <w:tc>
          <w:tcPr>
            <w:tcW w:w="21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57874453" protected="0"/>
          </w:tcPr>
          <w:p>
            <w:pPr>
              <w:pStyle w:val="par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niedostateczny</w:t>
            </w:r>
          </w:p>
        </w:tc>
      </w:tr>
    </w:tbl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  <w:t>Ocena dyktand uczniów z dysleksja, dysortografią: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18"/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>Uczeń nie otrzymuje punktów karnych za błędy typu: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zapis dużych i małych liter w środku wyrazu,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błędy w zapisie połączeń: -en, -em, -on, -om,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zastąpienie głosek innymi o podobnych cechach fonetycznych (np. b, p),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brak znaków diakrytycznych (ogonka, kreski nad literą,, kropki nad „i”),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niewłaściwe przeniesienie wyrazu,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błędny zapis rzadziej używanych liter (h - H, f - F, l - L) i wyrazów.</w:t>
      </w:r>
    </w:p>
    <w:p>
      <w:pPr>
        <w:ind w:left="1418"/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· pomyłka lub brak litery w wyrazie,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5)Kryteria oceny odpowiedzi ustnej: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124" w:hanging="545"/>
        <w:rPr>
          <w:sz w:val="24"/>
          <w:szCs w:val="24"/>
        </w:rPr>
      </w:pPr>
      <w:r>
        <w:rPr>
          <w:b/>
          <w:sz w:val="24"/>
          <w:szCs w:val="24"/>
        </w:rPr>
        <w:t>celujący</w:t>
      </w:r>
      <w:r>
        <w:rPr>
          <w:sz w:val="24"/>
          <w:szCs w:val="24"/>
        </w:rPr>
        <w:t xml:space="preserve"> – wypowiedź ustna jest całkowicie poprawna pod względem językowo – stylistycznym, merytorycznym, logicznym; zawiera wiadomości wymagane oraz wykraczające poza określony materiał; uczeń podczas wypowiedzi dokonuje uogólnień, wyraża własne sądy; w wypowiedzi uwzględnione są  właściwe dla tych form środki językowe; uczeń posługuje się piękną polszczyzną</w:t>
      </w:r>
    </w:p>
    <w:p>
      <w:pPr>
        <w:pStyle w:val="para4"/>
        <w:ind w:left="2124" w:hanging="54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bardzo dobry</w:t>
      </w:r>
      <w:r>
        <w:rPr>
          <w:sz w:val="24"/>
          <w:szCs w:val="24"/>
        </w:rPr>
        <w:t xml:space="preserve"> – wypowiedź ustna jest całkowicie poprawna pod względem językowo-stylistycznym, merytorycznym, logicznym; zawiera wymagane wiadomości; w wypowiedzi uwzględnione są  właściwe dla tych form środki językowe; uczeń posługuje się piękną polszczyzną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dobry</w:t>
      </w:r>
      <w:r>
        <w:rPr>
          <w:sz w:val="24"/>
          <w:szCs w:val="24"/>
        </w:rPr>
        <w:t xml:space="preserve"> – wypowiedź ustna jest całkowicie samodzielna; poprawna pod względem językowo –stylistycznym, logicznym; zawiera większość wymaganych wiadomości; wydarzenia uporządkowane są zgodnie z chronologią; uczeń posługuje się poprawną polszczyzną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dostateczny</w:t>
      </w:r>
      <w:r>
        <w:rPr>
          <w:sz w:val="24"/>
          <w:szCs w:val="24"/>
        </w:rPr>
        <w:t xml:space="preserve"> – wypowiedź ustna budowana jest na ogół samodzielnie (z niewielkim ukierunkowaniem przez nauczyciela), z uwzględnieniem zasad poprawnościowych w zakresie budowy zdań i stosowania poznanego słownictwa; zawiera większość wymaganych wiadomości (niewielkie nakierowanie przez nauczyciela)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dopuszczający</w:t>
      </w:r>
      <w:r>
        <w:rPr>
          <w:sz w:val="24"/>
          <w:szCs w:val="24"/>
        </w:rPr>
        <w:t xml:space="preserve"> – w wypowiedzi ustnej uczeń popełnia błędy w zakresie wiedzy i sposobu prezentacji; przy pomocy nauczyciela zasadniczo udziela odpowiedzi na postawione pytania; formułuje najprostsze formy wypowiedzi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>niedostateczny</w:t>
      </w:r>
      <w:r>
        <w:rPr>
          <w:sz w:val="24"/>
          <w:szCs w:val="24"/>
        </w:rPr>
        <w:t xml:space="preserve"> – wypowiedź ustna nie jest poprawna pod względem językowym i rzeczowym; nawet przy pomocy nauczyciela uczeń nie jest w stanie rozwiązać zagadnienia o elementarnym stopniu trudności</w:t>
      </w:r>
    </w:p>
    <w:p>
      <w:pPr>
        <w:pStyle w:val="para4"/>
        <w:ind w:left="144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6)Kryteria oceny czytania głośnego: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Celujący – </w:t>
      </w:r>
      <w:r>
        <w:rPr>
          <w:sz w:val="24"/>
          <w:szCs w:val="24"/>
        </w:rPr>
        <w:t>sposób czytania, akcentowania, przestankowania  jest całkowicie poprawny i zgodny z wszystkimi ogólnie przyjętymi zasadami głośnego czytania. Uczeń płynnie czyta, zwraca uwagę na właściwe tempo i emocjonalne akcentowanie tekstu. Samodzielnie kontroluje sposób swojego czytania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bardzo dobry </w:t>
      </w:r>
      <w:r>
        <w:rPr>
          <w:sz w:val="24"/>
          <w:szCs w:val="24"/>
        </w:rPr>
        <w:t>– uczeń wyraziście, biegle czyta nowy tekst, z uwzględnieniem akcentów logicznych, właściwego tempa i rytmu oraz z odpowiednim zaznaczeniem akcentów emocjonalnych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dobry </w:t>
      </w:r>
      <w:r>
        <w:rPr>
          <w:sz w:val="24"/>
          <w:szCs w:val="24"/>
        </w:rPr>
        <w:t>– uczeń czyta płynnie, wyraziście, stosując znaki prawidłowego przestankowania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dostateczny </w:t>
      </w:r>
      <w:r>
        <w:rPr>
          <w:sz w:val="24"/>
          <w:szCs w:val="24"/>
        </w:rPr>
        <w:t>– uczeń czyta poprawnie poznany wcześniej tekst, błędnie odczytuje wyrazy nowe, trudne, starając się stosować znaki przestankowe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dopuszczający </w:t>
      </w:r>
      <w:r>
        <w:rPr>
          <w:sz w:val="24"/>
          <w:szCs w:val="24"/>
        </w:rPr>
        <w:t>– uczeń czyta głośno poznany wcześniej tekst, nie zachowując odpowiedniego tempa, logicznego przestankowania, błędnie odczytuje wyrazy, technika głośnego czytania pozwala mu jednak na zrozumienie tekstu</w:t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70"/>
        <w:rPr>
          <w:sz w:val="24"/>
          <w:szCs w:val="24"/>
        </w:rPr>
      </w:pPr>
      <w:r>
        <w:rPr>
          <w:b/>
          <w:sz w:val="24"/>
          <w:szCs w:val="24"/>
        </w:rPr>
        <w:t xml:space="preserve">niedostateczny </w:t>
      </w:r>
      <w:r>
        <w:rPr>
          <w:sz w:val="24"/>
          <w:szCs w:val="24"/>
        </w:rPr>
        <w:t>– technika głośnego czytania jest tak słaba, że uczeń nie rozumie głośno czytanego tekstu, uczeń błędnie odczytuje większość wyrazów, nie stosuje logicznego przestankowania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left="1080"/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u w:color="auto" w:val="single"/>
          <w:lang w:val="pl-pl" w:eastAsia="pl-pl" w:bidi="ar-sa"/>
        </w:rPr>
        <w:t>7)Kryteria oceny recytacji:</w:t>
      </w:r>
    </w:p>
    <w:p>
      <w:pPr>
        <w:pStyle w:val="para4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 xml:space="preserve">celujący -  </w:t>
      </w:r>
      <w:r>
        <w:rPr>
          <w:sz w:val="24"/>
          <w:szCs w:val="24"/>
        </w:rPr>
        <w:t>uczeń osiąga sukcesy w konkursach recytatorskich; recytuje różnorodne utwory na akademiach szkolnych i innych uroczystościach szkolnych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bardzo dobry –</w:t>
      </w:r>
      <w:r>
        <w:rPr>
          <w:sz w:val="24"/>
          <w:szCs w:val="24"/>
        </w:rPr>
        <w:t xml:space="preserve"> uczeń recytuje wiersz lub fragment prozy wykazując przy tym bardzo dobre opanowanie pamięciowe tekstu, właściwa ekspresję, pauzowanie, tempo i artykulację, uwzględniając intonację, próbując oddać głosem nastrój utworu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dobry -</w:t>
      </w:r>
      <w:r>
        <w:rPr>
          <w:sz w:val="24"/>
          <w:szCs w:val="24"/>
        </w:rPr>
        <w:t xml:space="preserve"> uczeń recytuje wiersz lub fragment prozy wykazując przy tym bardzo dobre opanowanie pamięciowe tekstu, z ekspresją, artykulacją i tempem, próbując oddać nastrój utworu (dopuszczalne drobne uchybienia)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 xml:space="preserve">dostateczny -  </w:t>
      </w:r>
      <w:r>
        <w:rPr>
          <w:sz w:val="24"/>
          <w:szCs w:val="24"/>
        </w:rPr>
        <w:t>uczeń recytuje wiersz lub fragment prozy ze zrozumieniem, z odpowiednia artykulacją i akcentem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dopuszczający –</w:t>
      </w:r>
      <w:r>
        <w:rPr>
          <w:sz w:val="24"/>
          <w:szCs w:val="24"/>
        </w:rPr>
        <w:t xml:space="preserve"> uczeń wygłasza z pamięci wiersz lub fragment prozy, opuszcza jednak wyrazy, zmienia ich kolejność lub używa innych słów, nie zachowuje właściwego pauzowania, artykulacji</w:t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4"/>
        <w:ind w:left="2410" w:hanging="992"/>
        <w:rPr>
          <w:sz w:val="24"/>
          <w:szCs w:val="24"/>
        </w:rPr>
      </w:pPr>
      <w:r>
        <w:rPr>
          <w:b/>
          <w:sz w:val="24"/>
          <w:szCs w:val="24"/>
        </w:rPr>
        <w:t>niedostateczny –</w:t>
      </w:r>
      <w:r>
        <w:rPr>
          <w:sz w:val="24"/>
          <w:szCs w:val="24"/>
        </w:rPr>
        <w:t xml:space="preserve"> uczeń nie opanował wiersza lub fragmentu prozy pamięciowo, nawet przy pomocy nauczyciela nie jest w stanie odtworzyć go pamięciowo</w:t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</w:r>
    </w:p>
    <w:p>
      <w:pPr>
        <w:rPr>
          <w:rFonts w:eastAsia="Calibri"/>
          <w:kern w:val="0"/>
          <w:sz w:val="24"/>
          <w:szCs w:val="24"/>
          <w:lang w:val="pl-pl" w:eastAsia="pl-pl" w:bidi="ar-sa"/>
        </w:rPr>
      </w:pPr>
      <w:r>
        <w:rPr>
          <w:rFonts w:eastAsia="Calibri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lang w:val="pl-pl" w:eastAsia="pl-pl" w:bidi="ar-sa"/>
        </w:rPr>
        <w:t>3.</w:t>
      </w:r>
      <w:r>
        <w:rPr>
          <w:rFonts w:eastAsia="Times New Roman"/>
          <w:kern w:val="0"/>
          <w:sz w:val="24"/>
          <w:szCs w:val="24"/>
          <w:lang w:val="pl-pl" w:eastAsia="pl-pl" w:bidi="ar-sa"/>
        </w:rPr>
        <w:t xml:space="preserve"> 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 xml:space="preserve">Szczegółowe warunki i sposób oceniania wewnątrzszkolnego uczniów zawarte są w 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>§ 81.</w:t>
      </w:r>
      <w:r>
        <w:rPr>
          <w:rFonts w:eastAsia="Times New Roman"/>
          <w:b/>
          <w:bCs/>
          <w:kern w:val="0"/>
          <w:sz w:val="24"/>
          <w:szCs w:val="24"/>
          <w:lang w:val="pl-pl" w:eastAsia="pl-pl" w:bidi="ar-sa"/>
        </w:rPr>
        <w:t xml:space="preserve"> Statutu ZSP w Niskowej</w:t>
      </w: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spacing/>
        <w:jc w:val="center"/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color w:val="00b0f0"/>
          <w:kern w:val="0"/>
          <w:sz w:val="24"/>
          <w:szCs w:val="24"/>
          <w:u w:color="auto" w:val="single"/>
          <w:lang w:val="pl-pl" w:eastAsia="pl-pl" w:bidi="ar-sa"/>
        </w:rPr>
        <w:t>WARUNKI I TRYB OTRZYMANIA OCENY WYŻSZEJ NIŻ PRZEWIDYWANA</w:t>
      </w:r>
    </w:p>
    <w:p>
      <w:pPr>
        <w:spacing/>
        <w:jc w:val="center"/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pPr>
      <w:r>
        <w:rPr>
          <w:rFonts w:eastAsia="Times New Roman"/>
          <w:b/>
          <w:kern w:val="0"/>
          <w:sz w:val="24"/>
          <w:szCs w:val="24"/>
          <w:u w:color="auto" w:val="single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1. Uczeń lub jego rodzice mają prawo ubiegać się o uzyskanie rocznej oceny klasyfikacyjnej wyższej niż przewidywana z zajęć edukacyjnych jeżeli spełnia poniższe warunki: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1) pisał wszystkie prace klasowe;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2) korzystał z prawa do poprawy;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3) nie opuszczał zajęć bez usprawiedliwienia, w tym 80% obecności na zajęciach;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4) systematycznie wykonywał zadania zlecone przez nauczyciela;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5) korzystał z pomocy oferowanej przez szkołę.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3. Nauczyciel proponuje jako wskazane formy: prace pisemne, odpowiedzi ustne oraz wykonanie zadania praktycznego</w:t>
      </w:r>
      <w:r>
        <w:rPr>
          <w:rFonts w:eastAsia="Times New Roman"/>
          <w:kern w:val="0"/>
          <w:lang w:val="pl-pl" w:eastAsia="pl-pl" w:bidi="ar-sa"/>
        </w:rPr>
      </w:r>
      <w:bookmarkStart w:id="1" w:name="_Hlk175142019"/>
      <w:r>
        <w:rPr>
          <w:rFonts w:eastAsia="Times New Roman"/>
          <w:kern w:val="0"/>
          <w:lang w:val="pl-pl" w:eastAsia="pl-pl" w:bidi="ar-sa"/>
        </w:rPr>
      </w:r>
      <w:r>
        <w:rPr>
          <w:rFonts w:eastAsia="Times New Roman"/>
          <w:kern w:val="0"/>
          <w:sz w:val="24"/>
          <w:szCs w:val="24"/>
          <w:lang w:val="pl-pl" w:eastAsia="pl-pl" w:bidi="ar-sa"/>
        </w:rPr>
        <w:t>.</w:t>
      </w:r>
      <w:r>
        <w:rPr>
          <w:rFonts w:eastAsia="Times New Roman"/>
          <w:kern w:val="0"/>
          <w:sz w:val="24"/>
          <w:szCs w:val="24"/>
          <w:lang w:val="pl-pl" w:eastAsia="pl-pl" w:bidi="ar-sa"/>
        </w:rPr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bookmarkEnd w:id="1"/>
      <w:r>
        <w:rPr>
          <w:rFonts w:eastAsia="Times New Roman"/>
          <w:kern w:val="0"/>
          <w:sz w:val="24"/>
          <w:szCs w:val="24"/>
          <w:lang w:val="pl-pl" w:eastAsia="pl-pl" w:bidi="ar-sa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>
      <w:pPr>
        <w:rPr>
          <w:rFonts w:eastAsia="Times New Roman"/>
          <w:kern w:val="0"/>
          <w:sz w:val="24"/>
          <w:szCs w:val="24"/>
          <w:lang w:val="pl-pl" w:eastAsia="pl-pl" w:bidi="ar-sa"/>
        </w:rPr>
      </w:pPr>
      <w:r>
        <w:rPr>
          <w:rFonts w:eastAsia="Times New Roman"/>
          <w:kern w:val="0"/>
          <w:sz w:val="24"/>
          <w:szCs w:val="24"/>
          <w:lang w:val="pl-pl" w:eastAsia="pl-pl" w:bidi="ar-sa"/>
        </w:rPr>
        <w:t>5. Obowiązkiem nauczyciela jest udokumentowanie ustalonego postępowania i działań ucznia. Wyższa ocena ustalona w wyniku tego postępowania jest roczną oceną klasyfikacyjną z zajęć edukacyjnych.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7" w:other="7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6"/>
    <w:lvl w:ilvl="0">
      <w:numFmt w:val="bullet"/>
      <w:suff w:val="tab"/>
      <w:lvlText w:val=""/>
      <w:lvlJc w:val="left"/>
      <w:pPr>
        <w:ind w:left="144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216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88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60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32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504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76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48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20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owana 24"/>
    <w:lvl w:ilvl="0">
      <w:numFmt w:val="bullet"/>
      <w:suff w:val="tab"/>
      <w:lvlText w:val=""/>
      <w:lvlJc w:val="left"/>
      <w:pPr>
        <w:ind w:left="12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9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7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4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1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8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5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3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70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1"/>
      <w:tmLastPosIdx w:val="30"/>
    </w:tmLastPosCaret>
    <w:tmLastPosAnchor>
      <w:tmLastPosPgfIdx w:val="1"/>
      <w:tmLastPosIdx w:val="1"/>
    </w:tmLastPosAnchor>
    <w:tmLastPosTblRect w:left="0" w:top="0" w:right="0" w:bottom="0"/>
  </w:tmLastPos>
  <w:tmAppRevision w:date="175787445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contextualSpacing/>
    </w:pPr>
    <w:rPr>
      <w:rFonts w:eastAsia="Times New Roman"/>
      <w:kern w:val="0"/>
      <w:lang w:val="pl-pl" w:eastAsia="pl-pl" w:bidi="ar-sa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contextualSpacing/>
    </w:pPr>
    <w:rPr>
      <w:rFonts w:eastAsia="Times New Roman"/>
      <w:kern w:val="0"/>
      <w:lang w:val="pl-pl" w:eastAsia="pl-pl" w:bidi="ar-sa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2025-09-14T18:21:08Z</dcterms:created>
  <dcterms:modified xsi:type="dcterms:W3CDTF">2025-09-14T18:27:33Z</dcterms:modified>
</cp:coreProperties>
</file>